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D6906" w14:textId="77777777" w:rsidR="003A1B7C" w:rsidRDefault="00000000">
      <w:pPr>
        <w:jc w:val="center"/>
      </w:pPr>
      <w:r>
        <w:rPr>
          <w:b/>
          <w:sz w:val="32"/>
        </w:rPr>
        <w:t>PROGRAMME DE L'OPÉRATION</w:t>
      </w:r>
    </w:p>
    <w:p w14:paraId="2352D49D" w14:textId="77777777" w:rsidR="003A1B7C" w:rsidRDefault="00000000">
      <w:pPr>
        <w:jc w:val="center"/>
      </w:pPr>
      <w:r>
        <w:rPr>
          <w:sz w:val="22"/>
        </w:rPr>
        <w:t>Mission de maîtrise d’œuvre - Réseaux AEP, EU et EP - Pont de la Lyre</w:t>
      </w:r>
    </w:p>
    <w:p w14:paraId="3BB33ED0" w14:textId="77777777" w:rsidR="003A1B7C" w:rsidRDefault="003A1B7C"/>
    <w:tbl>
      <w:tblPr>
        <w:tblStyle w:val="Grilledutableau"/>
        <w:tblW w:w="0" w:type="auto"/>
        <w:jc w:val="center"/>
        <w:tblLook w:val="04A0" w:firstRow="1" w:lastRow="0" w:firstColumn="1" w:lastColumn="0" w:noHBand="0" w:noVBand="1"/>
      </w:tblPr>
      <w:tblGrid>
        <w:gridCol w:w="4986"/>
        <w:gridCol w:w="4986"/>
      </w:tblGrid>
      <w:tr w:rsidR="003A1B7C" w14:paraId="40AE0CF8" w14:textId="77777777">
        <w:trPr>
          <w:jc w:val="center"/>
        </w:trPr>
        <w:tc>
          <w:tcPr>
            <w:tcW w:w="4986" w:type="dxa"/>
            <w:shd w:val="clear" w:color="auto" w:fill="EDEDED"/>
            <w:vAlign w:val="center"/>
          </w:tcPr>
          <w:p w14:paraId="667D78BE" w14:textId="77777777" w:rsidR="003A1B7C" w:rsidRDefault="00000000">
            <w:r>
              <w:rPr>
                <w:sz w:val="18"/>
              </w:rPr>
              <w:t>Pouvoir adjudicateur</w:t>
            </w:r>
          </w:p>
        </w:tc>
        <w:tc>
          <w:tcPr>
            <w:tcW w:w="4986" w:type="dxa"/>
            <w:vAlign w:val="center"/>
          </w:tcPr>
          <w:p w14:paraId="768E004A" w14:textId="77777777" w:rsidR="003A1B7C" w:rsidRDefault="00000000">
            <w:r>
              <w:rPr>
                <w:sz w:val="18"/>
              </w:rPr>
              <w:t>Commune de Monthermé</w:t>
            </w:r>
            <w:r>
              <w:rPr>
                <w:sz w:val="18"/>
              </w:rPr>
              <w:br/>
              <w:t>Place de la République</w:t>
            </w:r>
            <w:r>
              <w:rPr>
                <w:sz w:val="18"/>
              </w:rPr>
              <w:br/>
              <w:t>08800 MONTHERMÉ</w:t>
            </w:r>
          </w:p>
        </w:tc>
      </w:tr>
      <w:tr w:rsidR="003A1B7C" w14:paraId="6D8093CE" w14:textId="77777777">
        <w:trPr>
          <w:jc w:val="center"/>
        </w:trPr>
        <w:tc>
          <w:tcPr>
            <w:tcW w:w="4986" w:type="dxa"/>
            <w:shd w:val="clear" w:color="auto" w:fill="EDEDED"/>
            <w:vAlign w:val="center"/>
          </w:tcPr>
          <w:p w14:paraId="70346A1F" w14:textId="77777777" w:rsidR="003A1B7C" w:rsidRDefault="00000000">
            <w:r>
              <w:rPr>
                <w:sz w:val="18"/>
              </w:rPr>
              <w:t>Objet</w:t>
            </w:r>
          </w:p>
        </w:tc>
        <w:tc>
          <w:tcPr>
            <w:tcW w:w="4986" w:type="dxa"/>
            <w:vAlign w:val="center"/>
          </w:tcPr>
          <w:p w14:paraId="25D813E9" w14:textId="77777777" w:rsidR="003A1B7C" w:rsidRDefault="00000000">
            <w:r>
              <w:rPr>
                <w:sz w:val="18"/>
              </w:rPr>
              <w:t>Mission de maîtrise d’œuvre relative aux réseaux AEP, EU et EP dans le cadre de la démolition et reconstruction du pont de la Lyre</w:t>
            </w:r>
          </w:p>
        </w:tc>
      </w:tr>
      <w:tr w:rsidR="003A1B7C" w14:paraId="14B034C4" w14:textId="77777777">
        <w:trPr>
          <w:jc w:val="center"/>
        </w:trPr>
        <w:tc>
          <w:tcPr>
            <w:tcW w:w="4986" w:type="dxa"/>
            <w:shd w:val="clear" w:color="auto" w:fill="EDEDED"/>
            <w:vAlign w:val="center"/>
          </w:tcPr>
          <w:p w14:paraId="78B32E95" w14:textId="77777777" w:rsidR="003A1B7C" w:rsidRDefault="00000000">
            <w:r>
              <w:rPr>
                <w:sz w:val="18"/>
              </w:rPr>
              <w:t>Localisation</w:t>
            </w:r>
          </w:p>
        </w:tc>
        <w:tc>
          <w:tcPr>
            <w:tcW w:w="4986" w:type="dxa"/>
            <w:vAlign w:val="center"/>
          </w:tcPr>
          <w:p w14:paraId="0D0F07F0" w14:textId="77777777" w:rsidR="003A1B7C" w:rsidRDefault="00000000">
            <w:r>
              <w:rPr>
                <w:sz w:val="18"/>
              </w:rPr>
              <w:t>Pont de la Lyre - RD31 - route de Prüm - 08800 Monthermé</w:t>
            </w:r>
          </w:p>
        </w:tc>
      </w:tr>
      <w:tr w:rsidR="003A1B7C" w14:paraId="7315557C" w14:textId="77777777">
        <w:trPr>
          <w:jc w:val="center"/>
        </w:trPr>
        <w:tc>
          <w:tcPr>
            <w:tcW w:w="4986" w:type="dxa"/>
            <w:shd w:val="clear" w:color="auto" w:fill="EDEDED"/>
            <w:vAlign w:val="center"/>
          </w:tcPr>
          <w:p w14:paraId="46E50DFB" w14:textId="77777777" w:rsidR="003A1B7C" w:rsidRDefault="00000000">
            <w:r>
              <w:rPr>
                <w:sz w:val="18"/>
              </w:rPr>
              <w:t>Procédure</w:t>
            </w:r>
          </w:p>
        </w:tc>
        <w:tc>
          <w:tcPr>
            <w:tcW w:w="4986" w:type="dxa"/>
            <w:vAlign w:val="center"/>
          </w:tcPr>
          <w:p w14:paraId="5C563AA9" w14:textId="77777777" w:rsidR="003A1B7C" w:rsidRDefault="00000000">
            <w:r>
              <w:rPr>
                <w:sz w:val="18"/>
              </w:rPr>
              <w:t>Marché à procédure adaptée (MAPA)</w:t>
            </w:r>
          </w:p>
        </w:tc>
      </w:tr>
      <w:tr w:rsidR="003A1B7C" w14:paraId="70FE43DD" w14:textId="77777777">
        <w:trPr>
          <w:jc w:val="center"/>
        </w:trPr>
        <w:tc>
          <w:tcPr>
            <w:tcW w:w="4986" w:type="dxa"/>
            <w:shd w:val="clear" w:color="auto" w:fill="EDEDED"/>
            <w:vAlign w:val="center"/>
          </w:tcPr>
          <w:p w14:paraId="147D6C10" w14:textId="77777777" w:rsidR="003A1B7C" w:rsidRDefault="00000000">
            <w:r>
              <w:rPr>
                <w:sz w:val="18"/>
              </w:rPr>
              <w:t>Profil acheteur</w:t>
            </w:r>
          </w:p>
        </w:tc>
        <w:tc>
          <w:tcPr>
            <w:tcW w:w="4986" w:type="dxa"/>
            <w:vAlign w:val="center"/>
          </w:tcPr>
          <w:p w14:paraId="2AA75896" w14:textId="4922F29A" w:rsidR="003A1B7C" w:rsidRDefault="005157BE">
            <w:hyperlink r:id="rId8" w:history="1">
              <w:r w:rsidRPr="00AE6182">
                <w:rPr>
                  <w:rStyle w:val="Lienhypertexte"/>
                  <w:rFonts w:cs="Calibri"/>
                </w:rPr>
                <w:t>https://www.marches-securises.fr</w:t>
              </w:r>
            </w:hyperlink>
          </w:p>
        </w:tc>
      </w:tr>
      <w:tr w:rsidR="003A1B7C" w14:paraId="28299A38" w14:textId="77777777">
        <w:trPr>
          <w:jc w:val="center"/>
        </w:trPr>
        <w:tc>
          <w:tcPr>
            <w:tcW w:w="4986" w:type="dxa"/>
            <w:shd w:val="clear" w:color="auto" w:fill="EDEDED"/>
            <w:vAlign w:val="center"/>
          </w:tcPr>
          <w:p w14:paraId="657E592A" w14:textId="77777777" w:rsidR="003A1B7C" w:rsidRDefault="00000000">
            <w:r>
              <w:rPr>
                <w:sz w:val="18"/>
              </w:rPr>
              <w:t>Publication</w:t>
            </w:r>
          </w:p>
        </w:tc>
        <w:tc>
          <w:tcPr>
            <w:tcW w:w="4986" w:type="dxa"/>
            <w:vAlign w:val="center"/>
          </w:tcPr>
          <w:p w14:paraId="3B2F7F0B" w14:textId="77777777" w:rsidR="003A1B7C" w:rsidRDefault="00000000">
            <w:r>
              <w:rPr>
                <w:sz w:val="18"/>
              </w:rPr>
              <w:t>16 juin 2026</w:t>
            </w:r>
          </w:p>
        </w:tc>
      </w:tr>
      <w:tr w:rsidR="003A1B7C" w14:paraId="694E9276" w14:textId="77777777">
        <w:trPr>
          <w:jc w:val="center"/>
        </w:trPr>
        <w:tc>
          <w:tcPr>
            <w:tcW w:w="4986" w:type="dxa"/>
            <w:shd w:val="clear" w:color="auto" w:fill="EDEDED"/>
            <w:vAlign w:val="center"/>
          </w:tcPr>
          <w:p w14:paraId="5F0E2C49" w14:textId="77777777" w:rsidR="003A1B7C" w:rsidRDefault="00000000">
            <w:r>
              <w:rPr>
                <w:sz w:val="18"/>
              </w:rPr>
              <w:t>Date limite de remise des offres</w:t>
            </w:r>
          </w:p>
        </w:tc>
        <w:tc>
          <w:tcPr>
            <w:tcW w:w="4986" w:type="dxa"/>
            <w:vAlign w:val="center"/>
          </w:tcPr>
          <w:p w14:paraId="3DC5D379" w14:textId="77777777" w:rsidR="003A1B7C" w:rsidRDefault="00000000">
            <w:r>
              <w:rPr>
                <w:sz w:val="18"/>
              </w:rPr>
              <w:t>16 juillet 2026 à 12 h 00</w:t>
            </w:r>
          </w:p>
        </w:tc>
      </w:tr>
      <w:tr w:rsidR="003A1B7C" w14:paraId="430D7D62" w14:textId="77777777">
        <w:trPr>
          <w:jc w:val="center"/>
        </w:trPr>
        <w:tc>
          <w:tcPr>
            <w:tcW w:w="4986" w:type="dxa"/>
            <w:shd w:val="clear" w:color="auto" w:fill="EDEDED"/>
            <w:vAlign w:val="center"/>
          </w:tcPr>
          <w:p w14:paraId="065599FA" w14:textId="77777777" w:rsidR="003A1B7C" w:rsidRDefault="00000000">
            <w:r>
              <w:rPr>
                <w:sz w:val="18"/>
              </w:rPr>
              <w:t>Prix</w:t>
            </w:r>
          </w:p>
        </w:tc>
        <w:tc>
          <w:tcPr>
            <w:tcW w:w="4986" w:type="dxa"/>
            <w:vAlign w:val="center"/>
          </w:tcPr>
          <w:p w14:paraId="1D00CEE2" w14:textId="77777777" w:rsidR="003A1B7C" w:rsidRDefault="00000000">
            <w:r>
              <w:rPr>
                <w:sz w:val="18"/>
              </w:rPr>
              <w:t>Prix global et forfaitaire</w:t>
            </w:r>
          </w:p>
        </w:tc>
      </w:tr>
      <w:tr w:rsidR="003A1B7C" w14:paraId="2D170C7F" w14:textId="77777777">
        <w:trPr>
          <w:jc w:val="center"/>
        </w:trPr>
        <w:tc>
          <w:tcPr>
            <w:tcW w:w="4986" w:type="dxa"/>
            <w:shd w:val="clear" w:color="auto" w:fill="EDEDED"/>
            <w:vAlign w:val="center"/>
          </w:tcPr>
          <w:p w14:paraId="778FE4CD" w14:textId="77777777" w:rsidR="003A1B7C" w:rsidRDefault="00000000">
            <w:r>
              <w:rPr>
                <w:sz w:val="18"/>
              </w:rPr>
              <w:t>Signataire</w:t>
            </w:r>
          </w:p>
        </w:tc>
        <w:tc>
          <w:tcPr>
            <w:tcW w:w="4986" w:type="dxa"/>
            <w:vAlign w:val="center"/>
          </w:tcPr>
          <w:p w14:paraId="66498242" w14:textId="77777777" w:rsidR="003A1B7C" w:rsidRDefault="00000000">
            <w:r>
              <w:rPr>
                <w:sz w:val="18"/>
              </w:rPr>
              <w:t>Monsieur le Maire de Monthermé</w:t>
            </w:r>
          </w:p>
        </w:tc>
      </w:tr>
    </w:tbl>
    <w:p w14:paraId="68473AE7" w14:textId="77777777" w:rsidR="003A1B7C" w:rsidRDefault="003A1B7C"/>
    <w:p w14:paraId="0FAB96CC" w14:textId="77777777" w:rsidR="003A1B7C" w:rsidRDefault="00000000">
      <w:pPr>
        <w:pStyle w:val="Titre1"/>
      </w:pPr>
      <w:r>
        <w:t>1. Contexte général</w:t>
      </w:r>
    </w:p>
    <w:p w14:paraId="44C4D2A5" w14:textId="77777777" w:rsidR="003A1B7C" w:rsidRDefault="00000000">
      <w:r>
        <w:t>Le Conseil départemental des Ardennes projette la démolition et la reconstruction du pont de la Lyre situé sur la RD31, route de Prüm, à Monthermé. Cet ouvrage appartient au Département. La Commune de Monthermé souhaite anticiper les conséquences de cette opération sur ses réseaux communaux d’eau potable, d’assainissement collectif et d’eaux pluviales.</w:t>
      </w:r>
    </w:p>
    <w:p w14:paraId="4DD1E92B" w14:textId="77777777" w:rsidR="003A1B7C" w:rsidRDefault="00000000">
      <w:pPr>
        <w:pStyle w:val="Titre1"/>
      </w:pPr>
      <w:r>
        <w:t>2. Objectifs de la mission</w:t>
      </w:r>
    </w:p>
    <w:p w14:paraId="08EAFFAD" w14:textId="77777777" w:rsidR="003A1B7C" w:rsidRDefault="00000000">
      <w:r>
        <w:t>La mission doit permettre d’identifier les réseaux concernés, de déterminer leur position exacte par rapport à l’ouvrage et à ses abords, de définir les travaux nécessaires et d’accompagner la Commune jusqu’à la réception des travaux.</w:t>
      </w:r>
    </w:p>
    <w:p w14:paraId="3A5F3649" w14:textId="77777777" w:rsidR="003A1B7C" w:rsidRDefault="00000000">
      <w:pPr>
        <w:pStyle w:val="Titre1"/>
      </w:pPr>
      <w:r>
        <w:t>3. Réseaux concernés</w:t>
      </w:r>
    </w:p>
    <w:p w14:paraId="71B26F53" w14:textId="77777777" w:rsidR="003A1B7C" w:rsidRDefault="00000000">
      <w:r>
        <w:t>Les réseaux concernés sont notamment le réseau d’eau potable, le réseau d’assainissement collectif, le réseau d’eaux pluviales ainsi que les ouvrages annexes, branchements, regards, vannes, canalisations et raccordements associés.</w:t>
      </w:r>
    </w:p>
    <w:p w14:paraId="6565B711" w14:textId="77777777" w:rsidR="003A1B7C" w:rsidRDefault="00000000">
      <w:pPr>
        <w:pStyle w:val="Titre1"/>
      </w:pPr>
      <w:r>
        <w:t>4. Situation actuelle inconnue</w:t>
      </w:r>
    </w:p>
    <w:p w14:paraId="0A2CE105" w14:textId="77777777" w:rsidR="003A1B7C" w:rsidRDefault="00000000">
      <w:r>
        <w:t>La Commune ne dispose pas, à ce stade, de toutes les précisions permettant de savoir si les réseaux sont implantés sur le pont, accrochés à l’ouvrage ou situés dans les emprises immédiates de voirie. Le maître d’œuvre devra donc prévoir dans sa mission les investigations nécessaires pour lever cette incertitude.</w:t>
      </w:r>
    </w:p>
    <w:p w14:paraId="76C1281F" w14:textId="77777777" w:rsidR="003A1B7C" w:rsidRDefault="00000000">
      <w:pPr>
        <w:pStyle w:val="Titre1"/>
      </w:pPr>
      <w:r>
        <w:t>5. Investigations attendues</w:t>
      </w:r>
    </w:p>
    <w:p w14:paraId="6B2D2D03" w14:textId="77777777" w:rsidR="003A1B7C" w:rsidRDefault="00000000">
      <w:r>
        <w:t>Le titulaire devra collecter les plans et données disponibles auprès de la Commune, du Conseil départemental des Ardennes et des gestionnaires de réseaux. Il réalisera les reconnaissances de terrain nécessaires et proposera, si besoin, des investigations complémentaires telles que levés, détections ou sondages, dans la limite de sa mission de maîtrise d’œuvre.</w:t>
      </w:r>
    </w:p>
    <w:p w14:paraId="3F24C0C1" w14:textId="77777777" w:rsidR="003A1B7C" w:rsidRDefault="00000000">
      <w:pPr>
        <w:pStyle w:val="Titre1"/>
      </w:pPr>
      <w:r>
        <w:lastRenderedPageBreak/>
        <w:t>6. Mission DIAG</w:t>
      </w:r>
    </w:p>
    <w:p w14:paraId="00037EEA" w14:textId="77777777" w:rsidR="003A1B7C" w:rsidRDefault="00000000">
      <w:r>
        <w:t>La phase DIAG comprendra l’analyse des données disponibles, la visite détaillée du site, l’identification des contraintes, l’état des lieux des réseaux et la proposition des premières orientations techniques.</w:t>
      </w:r>
    </w:p>
    <w:p w14:paraId="21287F79" w14:textId="77777777" w:rsidR="003A1B7C" w:rsidRDefault="00000000">
      <w:pPr>
        <w:pStyle w:val="Titre1"/>
      </w:pPr>
      <w:r>
        <w:t>7. Mission AVP</w:t>
      </w:r>
    </w:p>
    <w:p w14:paraId="29AEFBBC" w14:textId="77777777" w:rsidR="003A1B7C" w:rsidRDefault="00000000">
      <w:r>
        <w:t>La phase AVP présentera les solutions envisageables, leurs avantages et inconvénients, les contraintes de réalisation, les premières estimations financières et un calendrier prévisionnel.</w:t>
      </w:r>
    </w:p>
    <w:p w14:paraId="38FC1421" w14:textId="77777777" w:rsidR="003A1B7C" w:rsidRDefault="00000000">
      <w:pPr>
        <w:pStyle w:val="Titre1"/>
      </w:pPr>
      <w:r>
        <w:t>8. Mission PRO</w:t>
      </w:r>
    </w:p>
    <w:p w14:paraId="399D1A5B" w14:textId="77777777" w:rsidR="003A1B7C" w:rsidRDefault="00000000">
      <w:r>
        <w:t>La phase PRO détaillera la solution retenue : plans, principes techniques, dimensionnements, prescriptions, quantitatifs et estimation détaillée des travaux.</w:t>
      </w:r>
    </w:p>
    <w:p w14:paraId="5B08E77A" w14:textId="77777777" w:rsidR="003A1B7C" w:rsidRDefault="00000000">
      <w:pPr>
        <w:pStyle w:val="Titre1"/>
      </w:pPr>
      <w:r>
        <w:t>9. Mission ACT</w:t>
      </w:r>
    </w:p>
    <w:p w14:paraId="7FA52C07" w14:textId="77777777" w:rsidR="003A1B7C" w:rsidRDefault="00000000">
      <w:r>
        <w:t>Le titulaire assistera la Commune pour la préparation du dossier de consultation des entreprises de travaux, l’analyse des offres et la mise au point du marché de travaux.</w:t>
      </w:r>
    </w:p>
    <w:p w14:paraId="7E96FA48" w14:textId="77777777" w:rsidR="003A1B7C" w:rsidRDefault="00000000">
      <w:pPr>
        <w:pStyle w:val="Titre1"/>
      </w:pPr>
      <w:r>
        <w:t>10. Missions VISA, DET et AOR</w:t>
      </w:r>
    </w:p>
    <w:p w14:paraId="010C922C" w14:textId="77777777" w:rsidR="003A1B7C" w:rsidRDefault="00000000">
      <w:r>
        <w:t>Le titulaire assurera le visa des documents d’exécution, le suivi technique des travaux, la participation aux réunions de chantier, la vérification des situations, l’assistance à la réception et le suivi de la levée des réserves.</w:t>
      </w:r>
    </w:p>
    <w:p w14:paraId="5A5058C1" w14:textId="77777777" w:rsidR="003A1B7C" w:rsidRDefault="00000000">
      <w:pPr>
        <w:pStyle w:val="Titre1"/>
      </w:pPr>
      <w:r>
        <w:t>11. Coordination avec le Département</w:t>
      </w:r>
    </w:p>
    <w:p w14:paraId="5769DBD9" w14:textId="77777777" w:rsidR="003A1B7C" w:rsidRDefault="00000000">
      <w:r>
        <w:t>Le maître d’œuvre devra intégrer les contraintes du projet porté par le Conseil départemental des Ardennes et participer aux échanges nécessaires afin de coordonner les interventions sur les réseaux avec l’opération de reconstruction du pont.</w:t>
      </w:r>
    </w:p>
    <w:p w14:paraId="1324032E" w14:textId="77777777" w:rsidR="003A1B7C" w:rsidRDefault="00000000">
      <w:pPr>
        <w:pStyle w:val="Titre1"/>
      </w:pPr>
      <w:r>
        <w:t>12. Contraintes à prendre en compte</w:t>
      </w:r>
    </w:p>
    <w:p w14:paraId="679AAC0A" w14:textId="77777777" w:rsidR="003A1B7C" w:rsidRDefault="00000000">
      <w:r>
        <w:t>Le projet devra tenir compte de la continuité du service d’eau potable et d’assainissement, de la sécurité des usagers, de la circulation sur la RD31, des riverains, des concessionnaires, des contraintes techniques de chantier et du calendrier de l’opération départementale.</w:t>
      </w:r>
    </w:p>
    <w:p w14:paraId="33C6DB8B" w14:textId="77777777" w:rsidR="003A1B7C" w:rsidRDefault="00000000">
      <w:pPr>
        <w:pStyle w:val="Titre1"/>
      </w:pPr>
      <w:r>
        <w:t>13. Estimation des travaux</w:t>
      </w:r>
    </w:p>
    <w:p w14:paraId="6EE12A27" w14:textId="77777777" w:rsidR="003A1B7C" w:rsidRDefault="00000000">
      <w:r>
        <w:t>Le montant des travaux n’est pas connu à ce stade. Une des finalités de la mission est précisément d’établir une estimation fiable à l’issue des phases DIAG et AVP, puis une estimation détaillée en phase PRO.</w:t>
      </w:r>
    </w:p>
    <w:p w14:paraId="4F1AFF05" w14:textId="77777777" w:rsidR="003A1B7C" w:rsidRDefault="00000000">
      <w:pPr>
        <w:pStyle w:val="Titre1"/>
      </w:pPr>
      <w:r>
        <w:t>14. Livrables</w:t>
      </w:r>
    </w:p>
    <w:p w14:paraId="59B64F89" w14:textId="77777777" w:rsidR="003A1B7C" w:rsidRDefault="00000000">
      <w:r>
        <w:t>Les livrables attendus sont les rapports d’étude, plans, schémas, estimations, plannings, pièces techniques de consultation des entreprises et comptes rendus nécessaires au suivi de la mission.</w:t>
      </w:r>
    </w:p>
    <w:sectPr w:rsidR="003A1B7C" w:rsidSect="00034616">
      <w:headerReference w:type="even" r:id="rId9"/>
      <w:headerReference w:type="default" r:id="rId10"/>
      <w:footerReference w:type="even" r:id="rId11"/>
      <w:footerReference w:type="default" r:id="rId12"/>
      <w:headerReference w:type="first" r:id="rId13"/>
      <w:footerReference w:type="first" r:id="rId14"/>
      <w:pgSz w:w="12240" w:h="15840"/>
      <w:pgMar w:top="1020" w:right="1134" w:bottom="10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3E5E" w14:textId="77777777" w:rsidR="00A2576E" w:rsidRDefault="00A2576E">
      <w:pPr>
        <w:spacing w:after="0" w:line="240" w:lineRule="auto"/>
      </w:pPr>
      <w:r>
        <w:separator/>
      </w:r>
    </w:p>
  </w:endnote>
  <w:endnote w:type="continuationSeparator" w:id="0">
    <w:p w14:paraId="0D38E38D" w14:textId="77777777" w:rsidR="00A2576E" w:rsidRDefault="00A2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BE28" w14:textId="77777777" w:rsidR="00D37E7F" w:rsidRDefault="00D37E7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241957"/>
      <w:docPartObj>
        <w:docPartGallery w:val="Page Numbers (Bottom of Page)"/>
        <w:docPartUnique/>
      </w:docPartObj>
    </w:sdtPr>
    <w:sdtContent>
      <w:p w14:paraId="17E3B8B6" w14:textId="44595EDA" w:rsidR="004A6A01" w:rsidRDefault="004A6A01">
        <w:pPr>
          <w:pStyle w:val="Pieddepage"/>
          <w:jc w:val="right"/>
        </w:pPr>
        <w:r>
          <w:fldChar w:fldCharType="begin"/>
        </w:r>
        <w:r>
          <w:instrText>PAGE   \* MERGEFORMAT</w:instrText>
        </w:r>
        <w:r>
          <w:fldChar w:fldCharType="separate"/>
        </w:r>
        <w:r>
          <w:rPr>
            <w:lang w:val="fr-FR"/>
          </w:rPr>
          <w:t>2</w:t>
        </w:r>
        <w:r>
          <w:fldChar w:fldCharType="end"/>
        </w:r>
      </w:p>
    </w:sdtContent>
  </w:sdt>
  <w:p w14:paraId="67CA6BD2" w14:textId="41E20B99" w:rsidR="003A1B7C" w:rsidRDefault="003A1B7C">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7A5BF" w14:textId="77777777" w:rsidR="00D37E7F" w:rsidRDefault="00D37E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1810" w14:textId="77777777" w:rsidR="00A2576E" w:rsidRDefault="00A2576E">
      <w:pPr>
        <w:spacing w:after="0" w:line="240" w:lineRule="auto"/>
      </w:pPr>
      <w:r>
        <w:separator/>
      </w:r>
    </w:p>
  </w:footnote>
  <w:footnote w:type="continuationSeparator" w:id="0">
    <w:p w14:paraId="2D6163D3" w14:textId="77777777" w:rsidR="00A2576E" w:rsidRDefault="00A257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1E1F" w14:textId="77777777" w:rsidR="00D37E7F" w:rsidRDefault="00D37E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373B" w14:textId="3BAB5EA0" w:rsidR="00D37E7F" w:rsidRPr="00D37E7F" w:rsidRDefault="00D37E7F" w:rsidP="00D37E7F">
    <w:pPr>
      <w:pStyle w:val="En-tte"/>
      <w:jc w:val="center"/>
      <w:rPr>
        <w:sz w:val="16"/>
      </w:rPr>
    </w:pPr>
    <w:r w:rsidRPr="00D37E7F">
      <w:rPr>
        <w:noProof/>
        <w:sz w:val="16"/>
      </w:rPr>
      <mc:AlternateContent>
        <mc:Choice Requires="wps">
          <w:drawing>
            <wp:anchor distT="45720" distB="45720" distL="114300" distR="114300" simplePos="0" relativeHeight="251659264" behindDoc="0" locked="0" layoutInCell="1" allowOverlap="1" wp14:anchorId="57DC0D0E" wp14:editId="6BEE9A89">
              <wp:simplePos x="0" y="0"/>
              <wp:positionH relativeFrom="column">
                <wp:posOffset>-422910</wp:posOffset>
              </wp:positionH>
              <wp:positionV relativeFrom="paragraph">
                <wp:posOffset>-461010</wp:posOffset>
              </wp:positionV>
              <wp:extent cx="1158240" cy="556260"/>
              <wp:effectExtent l="0" t="0" r="22860" b="15240"/>
              <wp:wrapSquare wrapText="bothSides"/>
              <wp:docPr id="1240414765"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240" cy="556260"/>
                      </a:xfrm>
                      <a:prstGeom prst="rect">
                        <a:avLst/>
                      </a:prstGeom>
                      <a:solidFill>
                        <a:srgbClr val="FFFFFF"/>
                      </a:solidFill>
                      <a:ln w="9525">
                        <a:solidFill>
                          <a:schemeClr val="bg1"/>
                        </a:solidFill>
                        <a:miter lim="800000"/>
                        <a:headEnd/>
                        <a:tailEnd/>
                      </a:ln>
                    </wps:spPr>
                    <wps:txbx>
                      <w:txbxContent>
                        <w:p w14:paraId="4FC92827" w14:textId="3AB1609C" w:rsidR="00D37E7F" w:rsidRDefault="00D37E7F" w:rsidP="00D37E7F">
                          <w:r>
                            <w:rPr>
                              <w:rFonts w:asciiTheme="minorHAnsi" w:hAnsiTheme="minorHAnsi"/>
                              <w:noProof/>
                              <w:szCs w:val="20"/>
                              <w:lang w:val="fr-FR" w:eastAsia="fr-FR"/>
                            </w:rPr>
                            <w:drawing>
                              <wp:inline distT="0" distB="0" distL="0" distR="0" wp14:anchorId="2FEDC5C7" wp14:editId="33F0DF40">
                                <wp:extent cx="944880" cy="426720"/>
                                <wp:effectExtent l="0" t="0" r="7620" b="0"/>
                                <wp:docPr id="176281476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42672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DC0D0E" id="_x0000_t202" coordsize="21600,21600" o:spt="202" path="m,l,21600r21600,l21600,xe">
              <v:stroke joinstyle="miter"/>
              <v:path gradientshapeok="t" o:connecttype="rect"/>
            </v:shapetype>
            <v:shape id="Zone de texte 4" o:spid="_x0000_s1026" type="#_x0000_t202" style="position:absolute;left:0;text-align:left;margin-left:-33.3pt;margin-top:-36.3pt;width:91.2pt;height:4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" strokecolor="white [3212]">
              <v:textbox>
                <w:txbxContent>
                  <w:p w14:paraId="4FC92827" w14:textId="3AB1609C" w:rsidR="00D37E7F" w:rsidRDefault="00D37E7F" w:rsidP="00D37E7F">
                    <w:r>
                      <w:rPr>
                        <w:rFonts w:asciiTheme="minorHAnsi" w:hAnsiTheme="minorHAnsi"/>
                        <w:noProof/>
                        <w:szCs w:val="20"/>
                        <w:lang w:val="fr-FR" w:eastAsia="fr-FR"/>
                      </w:rPr>
                      <w:drawing>
                        <wp:inline distT="0" distB="0" distL="0" distR="0" wp14:anchorId="2FEDC5C7" wp14:editId="33F0DF40">
                          <wp:extent cx="944880" cy="426720"/>
                          <wp:effectExtent l="0" t="0" r="7620" b="0"/>
                          <wp:docPr id="176281476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426720"/>
                                  </a:xfrm>
                                  <a:prstGeom prst="rect">
                                    <a:avLst/>
                                  </a:prstGeom>
                                  <a:noFill/>
                                  <a:ln>
                                    <a:noFill/>
                                  </a:ln>
                                </pic:spPr>
                              </pic:pic>
                            </a:graphicData>
                          </a:graphic>
                        </wp:inline>
                      </w:drawing>
                    </w:r>
                  </w:p>
                </w:txbxContent>
              </v:textbox>
              <w10:wrap type="square"/>
            </v:shape>
          </w:pict>
        </mc:Fallback>
      </mc:AlternateContent>
    </w:r>
    <w:r w:rsidRPr="00D37E7F">
      <w:rPr>
        <w:sz w:val="16"/>
      </w:rPr>
      <w:t>Commune de Monthermé - DCE MOE réseaux - Pont de la Lyre</w:t>
    </w:r>
  </w:p>
  <w:p w14:paraId="5641414A" w14:textId="463AC673" w:rsidR="003A1B7C" w:rsidRPr="00D37E7F" w:rsidRDefault="003A1B7C" w:rsidP="00D37E7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BA4B8" w14:textId="77777777" w:rsidR="00D37E7F" w:rsidRDefault="00D37E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606817540">
    <w:abstractNumId w:val="8"/>
  </w:num>
  <w:num w:numId="2" w16cid:durableId="908461927">
    <w:abstractNumId w:val="6"/>
  </w:num>
  <w:num w:numId="3" w16cid:durableId="356546579">
    <w:abstractNumId w:val="5"/>
  </w:num>
  <w:num w:numId="4" w16cid:durableId="164831817">
    <w:abstractNumId w:val="4"/>
  </w:num>
  <w:num w:numId="5" w16cid:durableId="705788533">
    <w:abstractNumId w:val="7"/>
  </w:num>
  <w:num w:numId="6" w16cid:durableId="297804302">
    <w:abstractNumId w:val="3"/>
  </w:num>
  <w:num w:numId="7" w16cid:durableId="1938710372">
    <w:abstractNumId w:val="2"/>
  </w:num>
  <w:num w:numId="8" w16cid:durableId="2108034018">
    <w:abstractNumId w:val="1"/>
  </w:num>
  <w:num w:numId="9" w16cid:durableId="3806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3868"/>
    <w:rsid w:val="00034616"/>
    <w:rsid w:val="00053E62"/>
    <w:rsid w:val="0006063C"/>
    <w:rsid w:val="0015074B"/>
    <w:rsid w:val="001954D2"/>
    <w:rsid w:val="00195C15"/>
    <w:rsid w:val="0029639D"/>
    <w:rsid w:val="00326F90"/>
    <w:rsid w:val="003847E5"/>
    <w:rsid w:val="003A1B7C"/>
    <w:rsid w:val="004A6A01"/>
    <w:rsid w:val="005157BE"/>
    <w:rsid w:val="008026E3"/>
    <w:rsid w:val="00873DCC"/>
    <w:rsid w:val="00A2576E"/>
    <w:rsid w:val="00A971F4"/>
    <w:rsid w:val="00AA1D8D"/>
    <w:rsid w:val="00B47730"/>
    <w:rsid w:val="00CB0664"/>
    <w:rsid w:val="00D37E7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87A1DF"/>
  <w14:defaultImageDpi w14:val="300"/>
  <w15:docId w15:val="{99A02D86-3560-4F21-A2D5-0C102FFA8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Lienhypertexte">
    <w:name w:val="Hyperlink"/>
    <w:uiPriority w:val="99"/>
    <w:unhideWhenUsed/>
    <w:rsid w:val="005157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securises.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677</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Service Technique Montherme</cp:lastModifiedBy>
  <cp:revision>7</cp:revision>
  <dcterms:created xsi:type="dcterms:W3CDTF">2013-12-23T23:15:00Z</dcterms:created>
  <dcterms:modified xsi:type="dcterms:W3CDTF">2026-06-19T12:58:00Z</dcterms:modified>
  <cp:category/>
</cp:coreProperties>
</file>